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057FB" w14:textId="13DD575B" w:rsidR="00F2176C" w:rsidRPr="005A5946" w:rsidRDefault="00F2176C" w:rsidP="00F2176C">
      <w:pPr>
        <w:shd w:val="clear" w:color="auto" w:fill="FFFFFF"/>
        <w:tabs>
          <w:tab w:val="num" w:pos="720"/>
        </w:tabs>
        <w:spacing w:before="100" w:beforeAutospacing="1" w:after="300" w:line="240" w:lineRule="auto"/>
        <w:ind w:left="945" w:hanging="360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:lang w:val="fr-FR"/>
          <w14:ligatures w14:val="none"/>
        </w:rPr>
      </w:pPr>
      <w:r w:rsidRPr="005A5946">
        <w:rPr>
          <w:rFonts w:ascii="Calibri" w:hAnsi="Calibri" w:cs="Calibri"/>
          <w:color w:val="444444"/>
          <w:sz w:val="32"/>
          <w:szCs w:val="32"/>
          <w:shd w:val="clear" w:color="auto" w:fill="FFFFFF"/>
          <w:lang w:val="fr-FR"/>
        </w:rPr>
        <w:t>Non-Pharmaceutical Interventions (NPI)</w:t>
      </w:r>
      <w:r w:rsidR="005A5946" w:rsidRPr="005A5946">
        <w:rPr>
          <w:rFonts w:ascii="Calibri" w:hAnsi="Calibri" w:cs="Calibri"/>
          <w:color w:val="444444"/>
          <w:sz w:val="32"/>
          <w:szCs w:val="32"/>
          <w:shd w:val="clear" w:color="auto" w:fill="FFFFFF"/>
          <w:lang w:val="fr-FR"/>
        </w:rPr>
        <w:t xml:space="preserve"> f</w:t>
      </w:r>
      <w:r w:rsidR="005A5946">
        <w:rPr>
          <w:rFonts w:ascii="Calibri" w:hAnsi="Calibri" w:cs="Calibri"/>
          <w:color w:val="444444"/>
          <w:sz w:val="32"/>
          <w:szCs w:val="32"/>
          <w:shd w:val="clear" w:color="auto" w:fill="FFFFFF"/>
          <w:lang w:val="fr-FR"/>
        </w:rPr>
        <w:t>or Covid - 19</w:t>
      </w:r>
    </w:p>
    <w:p w14:paraId="34014A04" w14:textId="54721870" w:rsidR="00F2176C" w:rsidRPr="00F2176C" w:rsidRDefault="00F2176C" w:rsidP="00F2176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b/>
          <w:bCs/>
          <w:color w:val="1B1B1B"/>
          <w:kern w:val="0"/>
          <w:sz w:val="26"/>
          <w:szCs w:val="26"/>
          <w14:ligatures w14:val="none"/>
        </w:rPr>
        <w:t>Personal NPIs</w:t>
      </w:r>
      <w:r w:rsidRPr="00F2176C">
        <w:rPr>
          <w:rFonts w:ascii="Source Sans Pro" w:eastAsia="Times New Roman" w:hAnsi="Source Sans Pro" w:cs="Times New Roman"/>
          <w:i/>
          <w:iCs/>
          <w:color w:val="1B1B1B"/>
          <w:kern w:val="0"/>
          <w:sz w:val="26"/>
          <w:szCs w:val="26"/>
          <w14:ligatures w14:val="none"/>
        </w:rPr>
        <w:t>: 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Protective actions that can help individuals avoid exposure to pathogens, such as handwashing, covering of the mouth and nose when coughing and/or sneezing, wearing facemasks/face coverings, and voluntary home isolation for those with confirmed illness or quarantine for those who were exposed but are not yet ill.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19"/>
          <w:szCs w:val="19"/>
          <w:vertAlign w:val="superscript"/>
          <w14:ligatures w14:val="none"/>
        </w:rPr>
        <w:t>45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 In general, the use of these measures community-wide is recommended only during biological incidents involving contagious diseases that are of sufficiently large scale and scope. For vector-borne diseases, avoidance of vector habitat areas during peak vector activity times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19"/>
          <w:szCs w:val="19"/>
          <w:vertAlign w:val="superscript"/>
          <w14:ligatures w14:val="none"/>
        </w:rPr>
        <w:t>46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 can reduce exposure to vectors and lower the risk of disease transmission.</w:t>
      </w:r>
    </w:p>
    <w:p w14:paraId="30815A50" w14:textId="77777777" w:rsidR="00F2176C" w:rsidRPr="00F2176C" w:rsidRDefault="00F2176C" w:rsidP="00F2176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b/>
          <w:bCs/>
          <w:color w:val="1B1B1B"/>
          <w:kern w:val="0"/>
          <w:sz w:val="26"/>
          <w:szCs w:val="26"/>
          <w14:ligatures w14:val="none"/>
        </w:rPr>
        <w:t>Community NPIs: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 Strategies and policies that communities and organizations can implement to minimize the risk of an outbreak negatively impacting Community Lifelines. Most commonly, workplace and public/community environments, procedures, and policies are modified to prevent spread of disease in settings in which close human contact may be necessary. Modifications may include temperature and/or sign/symptom checks, limiting in-person capacities, and facility closures. Protective measures can be supported through:</w:t>
      </w:r>
    </w:p>
    <w:p w14:paraId="6D728740" w14:textId="77777777" w:rsidR="00F2176C" w:rsidRPr="00F2176C" w:rsidRDefault="00F2176C" w:rsidP="00F2176C">
      <w:pPr>
        <w:numPr>
          <w:ilvl w:val="1"/>
          <w:numId w:val="1"/>
        </w:numPr>
        <w:shd w:val="clear" w:color="auto" w:fill="FFFFFF"/>
        <w:spacing w:before="100" w:beforeAutospacing="1" w:after="300" w:line="240" w:lineRule="auto"/>
        <w:ind w:left="1890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Encouraging staff and public compliance with personal NPIs</w:t>
      </w:r>
    </w:p>
    <w:p w14:paraId="5DBB9A6F" w14:textId="77777777" w:rsidR="00F2176C" w:rsidRPr="00F2176C" w:rsidRDefault="00F2176C" w:rsidP="00F2176C">
      <w:pPr>
        <w:numPr>
          <w:ilvl w:val="1"/>
          <w:numId w:val="1"/>
        </w:numPr>
        <w:shd w:val="clear" w:color="auto" w:fill="FFFFFF"/>
        <w:spacing w:before="100" w:beforeAutospacing="1" w:after="300" w:line="240" w:lineRule="auto"/>
        <w:ind w:left="1890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Eliminating nonessential travel</w:t>
      </w:r>
    </w:p>
    <w:p w14:paraId="01207BA8" w14:textId="77777777" w:rsidR="00F2176C" w:rsidRPr="00F2176C" w:rsidRDefault="00F2176C" w:rsidP="00F2176C">
      <w:pPr>
        <w:numPr>
          <w:ilvl w:val="1"/>
          <w:numId w:val="1"/>
        </w:numPr>
        <w:shd w:val="clear" w:color="auto" w:fill="FFFFFF"/>
        <w:spacing w:before="100" w:beforeAutospacing="1" w:after="300" w:line="240" w:lineRule="auto"/>
        <w:ind w:left="1890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Limiting workplace interactions by implementing telecommuting policies and developing staggered work schedules when feasible</w:t>
      </w:r>
    </w:p>
    <w:p w14:paraId="56347BA6" w14:textId="77777777" w:rsidR="00F2176C" w:rsidRPr="00F2176C" w:rsidRDefault="00F2176C" w:rsidP="00F2176C">
      <w:pPr>
        <w:numPr>
          <w:ilvl w:val="1"/>
          <w:numId w:val="1"/>
        </w:numPr>
        <w:shd w:val="clear" w:color="auto" w:fill="FFFFFF"/>
        <w:spacing w:before="100" w:beforeAutospacing="1" w:after="300" w:line="240" w:lineRule="auto"/>
        <w:ind w:left="1890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Educating the community about proper PPE use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19"/>
          <w:szCs w:val="19"/>
          <w:vertAlign w:val="superscript"/>
          <w14:ligatures w14:val="none"/>
        </w:rPr>
        <w:t>47</w:t>
      </w:r>
    </w:p>
    <w:p w14:paraId="3678822C" w14:textId="77777777" w:rsidR="00F2176C" w:rsidRPr="00F2176C" w:rsidRDefault="00F2176C" w:rsidP="00F2176C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ind w:left="945"/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</w:pPr>
      <w:r w:rsidRPr="00F2176C">
        <w:rPr>
          <w:rFonts w:ascii="Source Sans Pro" w:eastAsia="Times New Roman" w:hAnsi="Source Sans Pro" w:cs="Times New Roman"/>
          <w:b/>
          <w:bCs/>
          <w:color w:val="1B1B1B"/>
          <w:kern w:val="0"/>
          <w:sz w:val="26"/>
          <w:szCs w:val="26"/>
          <w14:ligatures w14:val="none"/>
        </w:rPr>
        <w:t>Environmental NPIs</w:t>
      </w:r>
      <w:r w:rsidRPr="00F2176C">
        <w:rPr>
          <w:rFonts w:ascii="Source Sans Pro" w:eastAsia="Times New Roman" w:hAnsi="Source Sans Pro" w:cs="Times New Roman"/>
          <w:i/>
          <w:iCs/>
          <w:color w:val="1B1B1B"/>
          <w:kern w:val="0"/>
          <w:sz w:val="26"/>
          <w:szCs w:val="26"/>
          <w14:ligatures w14:val="none"/>
        </w:rPr>
        <w:t>: 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Engineering controls can be implemented in indoor or outdoor settings to protect community members from exposure. In a workplace setting, engineering controls protect workers from biological hazards by mitigating hazardous conditions and/or by isolating or separating workers in ways that will not interfere with productivity.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19"/>
          <w:szCs w:val="19"/>
          <w:vertAlign w:val="superscript"/>
          <w14:ligatures w14:val="none"/>
        </w:rPr>
        <w:t>48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 xml:space="preserve"> Examples of engineering controls include increasing air exchange and surface sanitization in addition to high-efficiency air filters; physical barriers such as clear plastic sneeze guards; ultraviolet lighting; drive-through windows for customer service; and specialized negative pressure ventilation in areas where aerosol 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lastRenderedPageBreak/>
        <w:t>generation is likely (e.g., airborne infection isolation rooms in healthcare settings, specialized autopsy suites in mortuary settings).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19"/>
          <w:szCs w:val="19"/>
          <w:vertAlign w:val="superscript"/>
          <w14:ligatures w14:val="none"/>
        </w:rPr>
        <w:t>49</w:t>
      </w:r>
      <w:r w:rsidRPr="00F2176C">
        <w:rPr>
          <w:rFonts w:ascii="Source Sans Pro" w:eastAsia="Times New Roman" w:hAnsi="Source Sans Pro" w:cs="Times New Roman"/>
          <w:color w:val="1B1B1B"/>
          <w:kern w:val="0"/>
          <w:sz w:val="26"/>
          <w:szCs w:val="26"/>
          <w14:ligatures w14:val="none"/>
        </w:rPr>
        <w:t> Environmental NPIs also include routine surface cleaning of frequently touched surfaces and objects, especially in childcare facilities, schools, workplaces, etc.</w:t>
      </w:r>
    </w:p>
    <w:p w14:paraId="298D096B" w14:textId="77777777" w:rsidR="00667D95" w:rsidRDefault="00667D95"/>
    <w:sectPr w:rsidR="00667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C4D71"/>
    <w:multiLevelType w:val="multilevel"/>
    <w:tmpl w:val="69D8E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84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6C"/>
    <w:rsid w:val="00252CF2"/>
    <w:rsid w:val="005A5946"/>
    <w:rsid w:val="005B1B85"/>
    <w:rsid w:val="00667D95"/>
    <w:rsid w:val="00F2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6CA2"/>
  <w15:chartTrackingRefBased/>
  <w15:docId w15:val="{EED37C94-0ABF-4F53-B2D1-734901A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176C"/>
    <w:rPr>
      <w:b/>
      <w:bCs/>
    </w:rPr>
  </w:style>
  <w:style w:type="character" w:styleId="Emphasis">
    <w:name w:val="Emphasis"/>
    <w:basedOn w:val="DefaultParagraphFont"/>
    <w:uiPriority w:val="20"/>
    <w:qFormat/>
    <w:rsid w:val="00F2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95B414468AA4E9B74EB7C6907598C" ma:contentTypeVersion="15" ma:contentTypeDescription="Create a new document." ma:contentTypeScope="" ma:versionID="2c4df2952be2841a9bf7eed8281849fc">
  <xsd:schema xmlns:xsd="http://www.w3.org/2001/XMLSchema" xmlns:xs="http://www.w3.org/2001/XMLSchema" xmlns:p="http://schemas.microsoft.com/office/2006/metadata/properties" xmlns:ns2="c93da638-5771-48f7-82f3-8e301c3d71f5" xmlns:ns3="b9ee9b0d-1718-40b2-b26a-362ef9cd398b" targetNamespace="http://schemas.microsoft.com/office/2006/metadata/properties" ma:root="true" ma:fieldsID="3bdc8373ee20ba63428cf4db77220b0e" ns2:_="" ns3:_="">
    <xsd:import namespace="c93da638-5771-48f7-82f3-8e301c3d71f5"/>
    <xsd:import namespace="b9ee9b0d-1718-40b2-b26a-362ef9cd3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a638-5771-48f7-82f3-8e301c3d7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79c538-26f7-425c-afb7-6d4c222b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9b0d-1718-40b2-b26a-362ef9cd39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3cac6e-d94f-4a64-be82-21dfcd4d2b5f}" ma:internalName="TaxCatchAll" ma:showField="CatchAllData" ma:web="b9ee9b0d-1718-40b2-b26a-362ef9cd3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958DC-7D2D-48A4-88BF-664BEB5ED6CC}"/>
</file>

<file path=customXml/itemProps2.xml><?xml version="1.0" encoding="utf-8"?>
<ds:datastoreItem xmlns:ds="http://schemas.openxmlformats.org/officeDocument/2006/customXml" ds:itemID="{FEF608D8-7070-45AD-9097-BC9B379E0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French</dc:creator>
  <cp:keywords/>
  <dc:description/>
  <cp:lastModifiedBy>Gary French</cp:lastModifiedBy>
  <cp:revision>2</cp:revision>
  <dcterms:created xsi:type="dcterms:W3CDTF">2024-07-15T17:31:00Z</dcterms:created>
  <dcterms:modified xsi:type="dcterms:W3CDTF">2024-07-15T17:35:00Z</dcterms:modified>
</cp:coreProperties>
</file>